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Orust kommunfullmäktige</w:t>
      </w:r>
    </w:p>
    <w:p>
      <w:pPr>
        <w:pStyle w:val="Heading1"/>
      </w:pPr>
      <w:r>
        <w:t xml:space="preserve">Språk- och arbetsmarknadsinsatser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Orust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Orust har ett mindre antal nyanlända men Arbetsförmedlingens statistik 2024 visar att etableringstiden är lång. Språk och arbete är nycklar till integration och minskad segregation.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Orust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SFI-undervisningen utökas med yrkesinriktade spår anpassade för båt- och turismnäringen.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lokalt praktikprogram i samverkan med näringslivet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avsätter medel för språkcaféer och samhällsorientering.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integrationsresultaten redovisas årligen i kommunfullmäktige.</w:t>
      </w:r>
    </w:p>
    <w:p>
      <w:pPr>
        <w:spacing w:before="360"/>
      </w:pPr>
    </w:p>
    <w:p>
      <w:r>
        <w:t xml:space="preserve">Orust,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Orust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2026-07-14T04:49:42.733Z</dcterms:created>
  <dcterms:modified xsi:type="dcterms:W3CDTF">2026-07-14T04:49:42.733Z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